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8B753E">
        <w:rPr>
          <w:b/>
        </w:rPr>
        <w:t>04</w:t>
      </w:r>
      <w:r w:rsidR="000B0973">
        <w:rPr>
          <w:b/>
        </w:rPr>
        <w:t xml:space="preserve">» </w:t>
      </w:r>
      <w:r w:rsidR="008B753E">
        <w:rPr>
          <w:b/>
        </w:rPr>
        <w:t>марта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20</w:t>
      </w:r>
      <w:r w:rsidR="00732713" w:rsidRPr="00732713">
        <w:rPr>
          <w:color w:val="000000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8B753E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8B753E">
              <w:t>-</w:t>
            </w:r>
            <w:r w:rsidRPr="00AE52D8">
              <w:rPr>
                <w:lang w:val="en-US"/>
              </w:rPr>
              <w:t>mail</w:t>
            </w:r>
            <w:r w:rsidRPr="008B753E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8B753E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8B753E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8B753E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8B753E" w:rsidRDefault="008B753E" w:rsidP="008B753E">
            <w:r w:rsidRPr="005E5640">
              <w:rPr>
                <w:b/>
                <w:bCs/>
                <w:color w:val="000000"/>
              </w:rPr>
              <w:t>Лот №1</w:t>
            </w:r>
            <w:r w:rsidRPr="00E551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55132">
              <w:rPr>
                <w:color w:val="000000"/>
              </w:rPr>
              <w:t xml:space="preserve"> </w:t>
            </w:r>
            <w:r w:rsidRPr="00AC1E33">
              <w:t>создание цикла информационно-аналитических программ «Партнёрство» в новостном и публицистическом формате</w:t>
            </w:r>
            <w:r>
              <w:t>.</w:t>
            </w:r>
          </w:p>
          <w:p w:rsidR="00AE52D8" w:rsidRPr="008B753E" w:rsidRDefault="008B753E" w:rsidP="000B0973">
            <w:pPr>
              <w:rPr>
                <w:color w:val="000000"/>
              </w:rPr>
            </w:pPr>
            <w:r w:rsidRPr="005E5640">
              <w:rPr>
                <w:b/>
                <w:bCs/>
                <w:color w:val="000000"/>
              </w:rPr>
              <w:t>Лот №2</w:t>
            </w:r>
            <w:r>
              <w:rPr>
                <w:color w:val="000000"/>
              </w:rPr>
              <w:t xml:space="preserve"> – </w:t>
            </w:r>
            <w:r w:rsidRPr="00537D7B">
              <w:t xml:space="preserve">создание цикла </w:t>
            </w:r>
            <w:r w:rsidRPr="00352064">
              <w:t>культурно-развлекательных программ «Наши люди».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8B753E" w:rsidRPr="00955A00" w:rsidRDefault="008B753E" w:rsidP="008B753E">
            <w:pPr>
              <w:spacing w:line="264" w:lineRule="auto"/>
              <w:rPr>
                <w:color w:val="000000"/>
              </w:rPr>
            </w:pPr>
            <w:r w:rsidRPr="005E5640">
              <w:rPr>
                <w:b/>
                <w:bCs/>
                <w:color w:val="000000"/>
              </w:rPr>
              <w:t>Лот №1</w:t>
            </w:r>
            <w:r>
              <w:rPr>
                <w:color w:val="000000"/>
              </w:rPr>
              <w:t xml:space="preserve"> – </w:t>
            </w:r>
            <w:r w:rsidRPr="005E5640">
              <w:rPr>
                <w:bCs/>
              </w:rPr>
              <w:t>4 760 000, 00 (Четыре миллиона семьсот шестьдесят тысяч) рублей 00 копеек</w:t>
            </w:r>
            <w:r w:rsidRPr="005E5640">
              <w:rPr>
                <w:bCs/>
                <w:color w:val="000000"/>
              </w:rPr>
              <w:t>.</w:t>
            </w:r>
          </w:p>
          <w:p w:rsidR="00AE52D8" w:rsidRPr="008B753E" w:rsidRDefault="008B753E" w:rsidP="00732713">
            <w:pPr>
              <w:spacing w:line="264" w:lineRule="auto"/>
              <w:rPr>
                <w:bCs/>
                <w:color w:val="000000"/>
              </w:rPr>
            </w:pPr>
            <w:r w:rsidRPr="005E5640">
              <w:rPr>
                <w:b/>
                <w:bCs/>
                <w:color w:val="000000"/>
              </w:rPr>
              <w:t>Лот №2</w:t>
            </w:r>
            <w:r>
              <w:rPr>
                <w:color w:val="000000"/>
              </w:rPr>
              <w:t xml:space="preserve"> – </w:t>
            </w:r>
            <w:r w:rsidRPr="005E5640">
              <w:rPr>
                <w:bCs/>
              </w:rPr>
              <w:t>11 421 666, 70 (Одиннадцать миллионов четыреста двадцать одна тысяча шестьсот шестьдесят шесть) рублей 70 копеек</w:t>
            </w:r>
            <w:r w:rsidRPr="005E5640">
              <w:rPr>
                <w:bCs/>
                <w:color w:val="000000"/>
              </w:rPr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DB124E">
              <w:rPr>
                <w:b w:val="0"/>
                <w:bCs w:val="0"/>
                <w:sz w:val="24"/>
                <w:szCs w:val="24"/>
              </w:rPr>
              <w:t>31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B753E">
              <w:rPr>
                <w:b w:val="0"/>
                <w:bCs w:val="0"/>
                <w:sz w:val="24"/>
                <w:szCs w:val="24"/>
              </w:rPr>
              <w:t>марта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DB124E">
              <w:t>01</w:t>
            </w:r>
            <w:r w:rsidR="000B0973">
              <w:t xml:space="preserve">» </w:t>
            </w:r>
            <w:r w:rsidR="00DB124E">
              <w:t>апреля</w:t>
            </w:r>
            <w:bookmarkStart w:id="2" w:name="_GoBack"/>
            <w:bookmarkEnd w:id="2"/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8B753E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8B753E">
      <w:footerReference w:type="even" r:id="rId7"/>
      <w:footerReference w:type="default" r:id="rId8"/>
      <w:pgSz w:w="11906" w:h="16838"/>
      <w:pgMar w:top="456" w:right="567" w:bottom="51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997" w:rsidRDefault="00AB1997">
      <w:r>
        <w:separator/>
      </w:r>
    </w:p>
  </w:endnote>
  <w:endnote w:type="continuationSeparator" w:id="0">
    <w:p w:rsidR="00AB1997" w:rsidRDefault="00AB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997" w:rsidRDefault="00AB1997">
      <w:r>
        <w:separator/>
      </w:r>
    </w:p>
  </w:footnote>
  <w:footnote w:type="continuationSeparator" w:id="0">
    <w:p w:rsidR="00AB1997" w:rsidRDefault="00AB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B753E"/>
    <w:rsid w:val="008C050B"/>
    <w:rsid w:val="008E06AD"/>
    <w:rsid w:val="008E11E2"/>
    <w:rsid w:val="008F348B"/>
    <w:rsid w:val="00901747"/>
    <w:rsid w:val="009265FC"/>
    <w:rsid w:val="009455EE"/>
    <w:rsid w:val="00983BDE"/>
    <w:rsid w:val="00996594"/>
    <w:rsid w:val="009970CA"/>
    <w:rsid w:val="009A7C25"/>
    <w:rsid w:val="00A74F65"/>
    <w:rsid w:val="00AA07A2"/>
    <w:rsid w:val="00AB1997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B124E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51E8B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37138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2320</Characters>
  <Application>Microsoft Office Word</Application>
  <DocSecurity>0</DocSecurity>
  <Lines>50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12</cp:revision>
  <cp:lastPrinted>2019-02-18T09:00:00Z</cp:lastPrinted>
  <dcterms:created xsi:type="dcterms:W3CDTF">2019-02-18T08:00:00Z</dcterms:created>
  <dcterms:modified xsi:type="dcterms:W3CDTF">2020-03-10T07:19:00Z</dcterms:modified>
</cp:coreProperties>
</file>